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A QMUCU motion on trans solidarity and the defence of social life from gender policing</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This branch notes that: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On 16th April, the UK Supreme Court made a </w:t>
      </w:r>
      <w:hyperlink r:id="rId6">
        <w:r w:rsidDel="00000000" w:rsidR="00000000" w:rsidRPr="00000000">
          <w:rPr>
            <w:color w:val="1155cc"/>
            <w:u w:val="single"/>
            <w:rtl w:val="0"/>
          </w:rPr>
          <w:t xml:space="preserve">decision</w:t>
        </w:r>
      </w:hyperlink>
      <w:r w:rsidDel="00000000" w:rsidR="00000000" w:rsidRPr="00000000">
        <w:rPr>
          <w:rtl w:val="0"/>
        </w:rPr>
        <w:t xml:space="preserve"> to define sex in biological terms for the purposes of the Equality Act 2010. This legal response disregards the principles of self-definition and bodily autonomy which are essential to the safety and freedom of people of all genders. The Court has licenced the social policing of gender in dangerous ways, endorsing the organised transphobia that has become central to the ascendancy of right-wing movements.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judgment has also generated confusion and inconsistency in the legal treatment of sex/gender identities. Already, since the ruling last week, we are seeing businesses and organisations explicitly shift their policies on gendered spaces, resulting in trans and gender-diverse people losing access to public life, and also being abused and assaulted. And yet, we note that there is no law in place banning anybody from any facility.</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decision permits but does not require organisations to exclude trans people from certain spaces. Therefore, unions and universities are legally free to adopt better standards of dignity, respect and inclusion in their practice and policy.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EHRC’s</w:t>
      </w:r>
      <w:hyperlink r:id="rId7">
        <w:r w:rsidDel="00000000" w:rsidR="00000000" w:rsidRPr="00000000">
          <w:rPr>
            <w:color w:val="1155cc"/>
            <w:u w:val="single"/>
            <w:rtl w:val="0"/>
          </w:rPr>
          <w:t xml:space="preserve"> interim guidance</w:t>
        </w:r>
      </w:hyperlink>
      <w:r w:rsidDel="00000000" w:rsidR="00000000" w:rsidRPr="00000000">
        <w:rPr>
          <w:rtl w:val="0"/>
        </w:rPr>
        <w:t xml:space="preserve"> of 25th April is discriminatory, unworkable and damaging, including in its specification that “trans women (biological men) should not be permitted to use the women’s facilities and trans men (biological women) should not be permitted to use the men’s facilities” in workplaces and services open to the public.</w:t>
      </w:r>
      <w:r w:rsidDel="00000000" w:rsidR="00000000" w:rsidRPr="00000000">
        <w:rPr>
          <w:rtl w:val="0"/>
        </w:rPr>
        <w:t xml:space="preserve"> It is vital that this guidance and its sentiments are rejected by unions, universities and other workplaces and public services committed to equality.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UCU is trans-inclusive and the UCU women members’ standing committee and LGBT+ members’ standing committee have made </w:t>
      </w:r>
      <w:hyperlink r:id="rId8">
        <w:r w:rsidDel="00000000" w:rsidR="00000000" w:rsidRPr="00000000">
          <w:rPr>
            <w:color w:val="1155cc"/>
            <w:u w:val="single"/>
            <w:rtl w:val="0"/>
          </w:rPr>
          <w:t xml:space="preserve">statements</w:t>
        </w:r>
      </w:hyperlink>
      <w:r w:rsidDel="00000000" w:rsidR="00000000" w:rsidRPr="00000000">
        <w:rPr>
          <w:rtl w:val="0"/>
        </w:rPr>
        <w:t xml:space="preserve"> rejecting the SC decision and the EHRC guidance.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QMUL claims to be an inclusive university, has a </w:t>
      </w:r>
      <w:hyperlink r:id="rId9">
        <w:r w:rsidDel="00000000" w:rsidR="00000000" w:rsidRPr="00000000">
          <w:rPr>
            <w:color w:val="1155cc"/>
            <w:u w:val="single"/>
            <w:rtl w:val="0"/>
          </w:rPr>
          <w:t xml:space="preserve">commitment</w:t>
        </w:r>
      </w:hyperlink>
      <w:r w:rsidDel="00000000" w:rsidR="00000000" w:rsidRPr="00000000">
        <w:rPr>
          <w:rtl w:val="0"/>
        </w:rPr>
        <w:t xml:space="preserve"> to trans inclusion, and has responded to the SC decision by making a </w:t>
      </w:r>
      <w:hyperlink r:id="rId10">
        <w:r w:rsidDel="00000000" w:rsidR="00000000" w:rsidRPr="00000000">
          <w:rPr>
            <w:color w:val="1155cc"/>
            <w:u w:val="single"/>
            <w:rtl w:val="0"/>
          </w:rPr>
          <w:t xml:space="preserve">statement</w:t>
        </w:r>
      </w:hyperlink>
      <w:r w:rsidDel="00000000" w:rsidR="00000000" w:rsidRPr="00000000">
        <w:rPr>
          <w:rtl w:val="0"/>
        </w:rPr>
        <w:t xml:space="preserve"> that QMUL remains “committed to creating a safe and inclusive environment for all members of our university community, where our staff and students are treated with dignity and respect, with no tolerance for any form of unlawful discrimination, bullying and/or harassment.”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b w:val="1"/>
          <w:bCs w:val="1"/>
          <w:rtl w:val="0"/>
        </w:rPr>
        <w:t xml:space="preserve">This branch believes that: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 attack on trans people is bad for workers of all genders.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Trade unions have a strong feminist history of contesting imposed meanings of woman and man, of providing resources and spaces for gender-diverse people to reproduce social life, and of supporting all workers in becoming free. </w:t>
      </w:r>
      <w:r w:rsidDel="00000000" w:rsidR="00000000" w:rsidRPr="00000000">
        <w:rPr>
          <w:rtl w:val="0"/>
        </w:rPr>
        <w:t xml:space="preserve">Consolidating and strengthening these commitments is more important than ever.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The UK Supreme Court has conflated a brief visual inspection at birth and the consequent administrative claim with “biological sex”. This is “biologically nonsensical” according to the </w:t>
      </w:r>
      <w:hyperlink r:id="rId11">
        <w:r w:rsidDel="00000000" w:rsidR="00000000" w:rsidRPr="00000000">
          <w:rPr>
            <w:color w:val="1155cc"/>
            <w:u w:val="single"/>
            <w:rtl w:val="0"/>
          </w:rPr>
          <w:t xml:space="preserve">BMA’s emergency motion</w:t>
        </w:r>
      </w:hyperlink>
      <w:r w:rsidDel="00000000" w:rsidR="00000000" w:rsidRPr="00000000">
        <w:rPr>
          <w:rtl w:val="0"/>
        </w:rPr>
        <w:t xml:space="preserve">. University workers have conducted scientific and cultural research which understands sexual biology to be complex, diverse and historically changing. This work has documented and challenged common sense use of biology-based arguments in justifying exploitation, oppression and discrimination.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Any questioning of colleagues, students or guests on campus about their ‘biological sex’ constitutes harassment, and should not be tolerated. Universities should provide a shared infrastructure that is welcoming, inclusive, and encourages people to encounter each other as equals.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b w:val="1"/>
          <w:bCs w:val="1"/>
          <w:rtl w:val="0"/>
        </w:rPr>
        <w:t xml:space="preserve">This branch resolves:</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To adopt and share this motion as a public statement of solidarity with trans staff and students and to support participation in actions seeking to free workplaces of gender policing.</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To disregard the interim EHRC guidance and call on QMUL to publicly state their opposition to the EHRC’s dangerous overreach, including by reaffirming that the university will respect gender self-identification in all its processes. This principle should be included in all training, policy, and information.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To demand that QMUL provide gender neutral toilets in accessible sites in all QM buildings, in addition to single sex facilities, and in cases where conversion of single sex toilets is necessary, that men’s single sex toilets be converted.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To lobby the TUC to make a strong statement against the SC judgment and against the EHRC interim guidance.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color w:val="222222"/>
          <w:highlight w:val="white"/>
          <w:rtl w:val="0"/>
        </w:rPr>
        <w:t xml:space="preserve">To donate £250 to </w:t>
      </w:r>
      <w:hyperlink r:id="rId12">
        <w:r w:rsidDel="00000000" w:rsidR="00000000" w:rsidRPr="00000000">
          <w:rPr>
            <w:color w:val="1155cc"/>
            <w:u w:val="single"/>
            <w:rtl w:val="0"/>
          </w:rPr>
          <w:t xml:space="preserve">Trans Legal Clinic</w:t>
        </w:r>
      </w:hyperlink>
      <w:r w:rsidDel="00000000" w:rsidR="00000000" w:rsidRPr="00000000">
        <w:rPr>
          <w:color w:val="222222"/>
          <w:highlight w:val="white"/>
          <w:rtl w:val="0"/>
        </w:rPr>
        <w:t xml:space="preserve"> and £250 to </w:t>
      </w:r>
      <w:hyperlink r:id="rId13">
        <w:r w:rsidDel="00000000" w:rsidR="00000000" w:rsidRPr="00000000">
          <w:rPr>
            <w:color w:val="1155cc"/>
            <w:u w:val="single"/>
            <w:rtl w:val="0"/>
          </w:rPr>
          <w:t xml:space="preserve">Trans Kids Deserve Better Protest Network</w:t>
        </w:r>
      </w:hyperlink>
      <w:r w:rsidDel="00000000" w:rsidR="00000000" w:rsidRPr="00000000">
        <w:rPr>
          <w:rtl w:val="0"/>
        </w:rPr>
        <w:t xml:space="preserve">*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 This last ‘resolves’ is an amendment accepted by the motion’s proposers, but not circulated in advance.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sz w:val="18"/>
          <w:szCs w:val="18"/>
        </w:rPr>
      </w:pPr>
      <w:r w:rsidDel="00000000" w:rsidR="00000000" w:rsidRPr="00000000">
        <w:rPr>
          <w:rtl w:val="0"/>
        </w:rPr>
      </w:r>
    </w:p>
    <w:p w:rsidR="00000000" w:rsidDel="00000000" w:rsidP="00000000" w:rsidRDefault="00000000" w:rsidRPr="00000000" w14:paraId="0000002D">
      <w:pPr>
        <w:rPr>
          <w:sz w:val="18"/>
          <w:szCs w:val="18"/>
        </w:rPr>
      </w:pPr>
      <w:r w:rsidDel="00000000" w:rsidR="00000000" w:rsidRPr="00000000">
        <w:rPr>
          <w:rtl w:val="0"/>
        </w:rPr>
      </w:r>
    </w:p>
    <w:p w:rsidR="00000000" w:rsidDel="00000000" w:rsidP="00000000" w:rsidRDefault="00000000" w:rsidRPr="00000000" w14:paraId="0000002E">
      <w:pPr>
        <w:rPr/>
      </w:pPr>
      <w:r w:rsidDel="00000000" w:rsidR="00000000" w:rsidRPr="00000000">
        <w:rPr>
          <w:sz w:val="18"/>
          <w:szCs w:val="18"/>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x.com/thebma/status/1917187007350001911?s=46&amp;t=TD0Z6xN9pmGX1ejiu2T8TQ%5D" TargetMode="External"/><Relationship Id="rId10" Type="http://schemas.openxmlformats.org/officeDocument/2006/relationships/hyperlink" Target="https://www.qmul.ac.uk/human-resources/equality/protected-characteristics/sex/" TargetMode="External"/><Relationship Id="rId13" Type="http://schemas.openxmlformats.org/officeDocument/2006/relationships/hyperlink" Target="https://transkidsdeservebetter.org/" TargetMode="External"/><Relationship Id="rId12" Type="http://schemas.openxmlformats.org/officeDocument/2006/relationships/hyperlink" Target="https://www.translegalclinic.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qmul.ac.uk/human-resources/media/hr/edi/Trans-Inclusion-Statement-of-Commitment-2022.pdf" TargetMode="External"/><Relationship Id="rId5" Type="http://schemas.openxmlformats.org/officeDocument/2006/relationships/styles" Target="styles.xml"/><Relationship Id="rId6" Type="http://schemas.openxmlformats.org/officeDocument/2006/relationships/hyperlink" Target="https://supremecourt.uk/cases/press-summary/uksc-2024-0042" TargetMode="External"/><Relationship Id="rId7" Type="http://schemas.openxmlformats.org/officeDocument/2006/relationships/hyperlink" Target="https://www.equalityhumanrights.com/media-centre/interim-update-practical-implications-uk-supreme-court-judgment" TargetMode="External"/><Relationship Id="rId8" Type="http://schemas.openxmlformats.org/officeDocument/2006/relationships/hyperlink" Target="https://www.ucu.org.uk/article/14003/Statements-from-UCU-women-members-and-LGBT-members-standing-committ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